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411bfd766423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21498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GLAZBENA ŠKOLA BLAGOJA BERSE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1.907.057,24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2.172.941,67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1.890.292,00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2.324.537,65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151.595,98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19.634,66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42.953,46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19.634,66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42.953,46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2.869,42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194.549,44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6780,1</w:t>
            </w:r>
          </w:p>
        </w:tc>
      </w:tr>
    </w:tbl>
    <w:p>
      <w:pPr>
        <w:spacing w:before="0" w:after="0"/>
      </w:pPr>
    </w:p>
    <w:p>
      <w:r>
        <w:t xml:space="preserve">Glazbena škola Blagoja Berse, OIB: 01500403553, Zagreb, Frankopanska ulica 8, posluje u skladu sa Zakonom o odgoju i obrazovanju u osnovnoj i srednjoj školi te Statutom Škole.</w:t>
      </w:r>
    </w:p>
    <w:p>
      <w:r>
        <w:t xml:space="preserve">Škola vodi proračunsko računovodstvo sukladno Pravilniku o proračunskom računovodstvu i Računskom planu, a financijske izvještaje sastavlja i predaje u skladu s odredbama Pravilnika o financijskom izvještavanju u proračunskom računovodstvu.</w:t>
      </w:r>
    </w:p>
    <w:p>
      <w:r>
        <w:t xml:space="preserve"> </w:t>
      </w:r>
    </w:p>
    <w:p>
      <w:r>
        <w:t xml:space="preserve">o   BILJEŠKE UZ IZVJEŠTAJ O PRIHODIMA I RASHODIMA, PRIMICIMA I IZDACIMA</w:t>
      </w:r>
    </w:p>
    <w:p>
      <w:r>
        <w:t xml:space="preserve"> </w:t>
      </w:r>
    </w:p>
    <w:p>
      <w:r>
        <w:t xml:space="preserve">Bilješka broj 1 – šifre 6361 i 6362</w:t>
      </w:r>
    </w:p>
    <w:p>
      <w:r>
        <w:t xml:space="preserve">Tekuće i kapitalne pomoći proračunskim korisnicima iz proračuna koji im nije nadležan</w:t>
      </w:r>
    </w:p>
    <w:p>
      <w:r>
        <w:t xml:space="preserve">Prihodi u okviru ove skupine ostvareni su iz proračuna Ministarstva znanosti, obrazovanja i mladih, a u 2025. godini korišteni su za financiranje:</w:t>
      </w:r>
    </w:p>
    <w:p>
      <w:pPr>
        <w:pStyle w:val="ListParagraph"/>
        <w:numPr>
          <w:ilvl w:val="0"/>
          <w:numId w:val="2"/>
        </w:numPr>
      </w:pPr>
      <w:r>
        <w:t xml:space="preserve">rashoda za zaposlene,</w:t>
      </w:r>
    </w:p>
    <w:p>
      <w:pPr>
        <w:pStyle w:val="ListParagraph"/>
        <w:numPr>
          <w:ilvl w:val="0"/>
          <w:numId w:val="2"/>
        </w:numPr>
      </w:pPr>
      <w:r>
        <w:t xml:space="preserve">drugog dohotka vanjskih suradnika,</w:t>
      </w:r>
    </w:p>
    <w:p>
      <w:pPr>
        <w:pStyle w:val="ListParagraph"/>
        <w:numPr>
          <w:ilvl w:val="0"/>
          <w:numId w:val="2"/>
        </w:numPr>
      </w:pPr>
      <w:r>
        <w:t xml:space="preserve">naknada zbog nezapošljavanja osoba s invaliditetom,</w:t>
      </w:r>
    </w:p>
    <w:p>
      <w:pPr>
        <w:pStyle w:val="ListParagraph"/>
        <w:numPr>
          <w:ilvl w:val="0"/>
          <w:numId w:val="2"/>
        </w:numPr>
      </w:pPr>
      <w:r>
        <w:t xml:space="preserve">troškova ispitnih povjerenstava za polaganje stručnih ispita,</w:t>
      </w:r>
    </w:p>
    <w:p>
      <w:pPr>
        <w:pStyle w:val="ListParagraph"/>
        <w:numPr>
          <w:ilvl w:val="0"/>
          <w:numId w:val="2"/>
        </w:numPr>
      </w:pPr>
      <w:r>
        <w:t xml:space="preserve">mentorstva pripravnika,</w:t>
      </w:r>
    </w:p>
    <w:p>
      <w:pPr>
        <w:pStyle w:val="ListParagraph"/>
        <w:numPr>
          <w:ilvl w:val="0"/>
          <w:numId w:val="2"/>
        </w:numPr>
      </w:pPr>
      <w:r>
        <w:t xml:space="preserve">nabave stručne literature (pretežito notnog materijala),</w:t>
      </w:r>
    </w:p>
    <w:p>
      <w:pPr>
        <w:pStyle w:val="ListParagraph"/>
        <w:numPr>
          <w:ilvl w:val="0"/>
          <w:numId w:val="2"/>
        </w:numPr>
      </w:pPr>
      <w:r>
        <w:t xml:space="preserve">troškova opskrbe besplatnim zalihama menstrualnih higijenskih potrepština,</w:t>
      </w:r>
    </w:p>
    <w:p>
      <w:pPr>
        <w:pStyle w:val="ListParagraph"/>
        <w:numPr>
          <w:ilvl w:val="0"/>
          <w:numId w:val="2"/>
        </w:numPr>
      </w:pPr>
      <w:r>
        <w:t xml:space="preserve">isplata po pravomoćnim sudskim presudama vezanim uz obračun plaća po povoljnijoj osnovici.</w:t>
      </w:r>
    </w:p>
    <w:p>
      <w:r>
        <w:t xml:space="preserve">Dio prihoda ostvaren je iz proračuna Agencije za odgoj i obrazovanje, a odnosi se na financiranje troškova autobusnog prijevoza u sklopu sudjelovanja orkestra na 63. državnom natjecanju učenika i studenata glazbe i plesa.</w:t>
      </w:r>
    </w:p>
    <w:p>
      <w:r>
        <w:t xml:space="preserve"> </w:t>
      </w:r>
    </w:p>
    <w:p>
      <w:r>
        <w:t xml:space="preserve">Bilješka broj 2 – šifra 6526</w:t>
      </w:r>
    </w:p>
    <w:p>
      <w:r>
        <w:t xml:space="preserve">Ostali nespomenuti prihodi</w:t>
      </w:r>
    </w:p>
    <w:p>
      <w:r>
        <w:t xml:space="preserve">Prihodi u ovoj skupini odnose se na:</w:t>
      </w:r>
    </w:p>
    <w:p>
      <w:pPr>
        <w:pStyle w:val="ListParagraph"/>
        <w:numPr>
          <w:ilvl w:val="0"/>
          <w:numId w:val="3"/>
        </w:numPr>
      </w:pPr>
      <w:r>
        <w:t xml:space="preserve">prihode od participacija učenika za opremanje i poboljšanje uvjeta rada Škole,</w:t>
      </w:r>
    </w:p>
    <w:p>
      <w:pPr>
        <w:pStyle w:val="ListParagraph"/>
        <w:numPr>
          <w:ilvl w:val="0"/>
          <w:numId w:val="3"/>
        </w:numPr>
      </w:pPr>
      <w:r>
        <w:t xml:space="preserve">prihode od vježbenika koji ponavljaju polaganje stručnih ispita (pretežito za pokriće troškova ispitnih povjerenstava),</w:t>
      </w:r>
    </w:p>
    <w:p>
      <w:pPr>
        <w:pStyle w:val="ListParagraph"/>
        <w:numPr>
          <w:ilvl w:val="0"/>
          <w:numId w:val="3"/>
        </w:numPr>
      </w:pPr>
      <w:r>
        <w:t xml:space="preserve">ostale prihode za posebne namjene (povrate zaposlenika za parking i roaming).</w:t>
      </w:r>
      <w:r>
        <w:br/>
      </w:r>
      <w:r>
        <w:t xml:space="preserve"> </w:t>
      </w:r>
    </w:p>
    <w:p>
      <w:r>
        <w:t xml:space="preserve">Bilješka broj 3 – šifra 6711</w:t>
      </w:r>
    </w:p>
    <w:p>
      <w:r>
        <w:t xml:space="preserve">Prihodi iz nadležnog proračuna za financiranje rashoda poslovanja</w:t>
      </w:r>
    </w:p>
    <w:p>
      <w:r>
        <w:t xml:space="preserve">Prihodi u ovoj skupini ostvareni su iz proračuna Grada Zagreba (osnivača) te se odnose na:</w:t>
      </w:r>
    </w:p>
    <w:p>
      <w:pPr>
        <w:pStyle w:val="ListParagraph"/>
        <w:numPr>
          <w:ilvl w:val="0"/>
          <w:numId w:val="4"/>
        </w:numPr>
      </w:pPr>
      <w:r>
        <w:t xml:space="preserve">decentralizirana sredstva za financiranje redovne djelatnosti (materijalni i financijski rashodi),</w:t>
      </w:r>
    </w:p>
    <w:p>
      <w:pPr>
        <w:pStyle w:val="ListParagraph"/>
        <w:numPr>
          <w:ilvl w:val="0"/>
          <w:numId w:val="4"/>
        </w:numPr>
      </w:pPr>
      <w:r>
        <w:t xml:space="preserve">sredstva za pojačani standard za financiranje dodatnih programa i aktivnosti.</w:t>
      </w:r>
    </w:p>
    <w:p>
      <w:r>
        <w:t xml:space="preserve">Sredstva za pojačani standard u 2025. godini korištena su za:</w:t>
      </w:r>
    </w:p>
    <w:p>
      <w:pPr>
        <w:pStyle w:val="ListParagraph"/>
        <w:numPr>
          <w:ilvl w:val="0"/>
          <w:numId w:val="5"/>
        </w:numPr>
      </w:pPr>
      <w:r>
        <w:t xml:space="preserve">naknade za rad Školskog odbora,</w:t>
      </w:r>
    </w:p>
    <w:p>
      <w:pPr>
        <w:pStyle w:val="ListParagraph"/>
        <w:numPr>
          <w:ilvl w:val="0"/>
          <w:numId w:val="5"/>
        </w:numPr>
      </w:pPr>
      <w:r>
        <w:t xml:space="preserve">sufinanciranje projekata prijavljenih na natječaje europskih fondova ili partnerstava za EU fondove, uključujući plaćanje stručnjaka za tehničku podršku (razdoblje 12/2024. – 11/2025.),</w:t>
      </w:r>
    </w:p>
    <w:p>
      <w:pPr>
        <w:pStyle w:val="ListParagraph"/>
        <w:numPr>
          <w:ilvl w:val="0"/>
          <w:numId w:val="5"/>
        </w:numPr>
      </w:pPr>
      <w:r>
        <w:t xml:space="preserve">financiranje nagrade učenicima „Professor Balthazar“ (šifra 3721),</w:t>
      </w:r>
    </w:p>
    <w:p>
      <w:pPr>
        <w:pStyle w:val="ListParagraph"/>
        <w:numPr>
          <w:ilvl w:val="0"/>
          <w:numId w:val="5"/>
        </w:numPr>
      </w:pPr>
      <w:r>
        <w:t xml:space="preserve">nabavu menstrualnih higijenskih potrepština,</w:t>
      </w:r>
    </w:p>
    <w:p>
      <w:pPr>
        <w:pStyle w:val="ListParagraph"/>
        <w:numPr>
          <w:ilvl w:val="0"/>
          <w:numId w:val="5"/>
        </w:numPr>
      </w:pPr>
      <w:r>
        <w:t xml:space="preserve">plaćanje prve rate police osiguranja od požara i odgovornosti,</w:t>
      </w:r>
    </w:p>
    <w:p>
      <w:pPr>
        <w:pStyle w:val="ListParagraph"/>
        <w:numPr>
          <w:ilvl w:val="0"/>
          <w:numId w:val="5"/>
        </w:numPr>
      </w:pPr>
      <w:r>
        <w:t xml:space="preserve">financiranje troška najma zaštitne skele na objektu Škole, Frankopanska ulica 8, Zagreb, za razdoblje od kolovoza 2024. do veljače 2025.</w:t>
      </w:r>
      <w:r>
        <w:br/>
      </w:r>
      <w:r>
        <w:t xml:space="preserve">Trošak najma zaštitne skele iznosio je 32.900,00 EUR i evidentiran je na šifri 3232 – Usluge tekućeg i investicijskog održavanja. Također je odobrena refundacija troška sanacije kapilarne vlage u iznosu od 29.688,75 EUR, evidentirana na istoj šifri. Navedeni rashodi uzrok su značajnog povećanja rashoda na šifri 3232, koja u izvještajnom razdoblju bilježi porast od 412,2 % u odnosu na prethodno razdoblje.</w:t>
      </w:r>
    </w:p>
    <w:p>
      <w:r>
        <w:t xml:space="preserve"> </w:t>
      </w:r>
    </w:p>
    <w:p>
      <w:r>
        <w:t xml:space="preserve">Bilješka broj 4 – šifra 6712</w:t>
      </w:r>
    </w:p>
    <w:p>
      <w:r>
        <w:t xml:space="preserve">Prihodi iz nadležnog proračuna za financiranje rashoda za nabavu nefinancijske imovine</w:t>
      </w:r>
    </w:p>
    <w:p>
      <w:r>
        <w:t xml:space="preserve">Prihodi u ovoj skupini ostvareni su iz proračuna Grada Zagreba (osnivača). U 2025. godini sredstva su korištena za:</w:t>
      </w:r>
    </w:p>
    <w:p>
      <w:pPr>
        <w:pStyle w:val="ListParagraph"/>
        <w:numPr>
          <w:ilvl w:val="0"/>
          <w:numId w:val="6"/>
        </w:numPr>
      </w:pPr>
      <w:r>
        <w:t xml:space="preserve">nabavu knjižnične građe za školsku knjižnicu (pretežito notni materijal),</w:t>
      </w:r>
    </w:p>
    <w:p>
      <w:pPr>
        <w:pStyle w:val="ListParagraph"/>
        <w:numPr>
          <w:ilvl w:val="0"/>
          <w:numId w:val="6"/>
        </w:numPr>
      </w:pPr>
      <w:r>
        <w:t xml:space="preserve">nabavu projektora (2 kom.), projekcijskih ekrana (2 kom.) s popratnom opremom i uslugom montaže u iznosu od 8.210,15 EUR,</w:t>
      </w:r>
    </w:p>
    <w:p>
      <w:pPr>
        <w:pStyle w:val="ListParagraph"/>
        <w:numPr>
          <w:ilvl w:val="0"/>
          <w:numId w:val="6"/>
        </w:numPr>
      </w:pPr>
      <w:r>
        <w:t xml:space="preserve">nabavu rolo-zavjesa, aluminijskih montažnih profila te uslugu dostave i montaže u iznosu od 8.954,04 EUR.</w:t>
      </w:r>
    </w:p>
    <w:p>
      <w:r>
        <w:t xml:space="preserve">Navedena ulaganja uzrok su značajnog povećanja prihoda na šifri 6712, koja u izvještajnom razdoblju bilježi porast od 5.287,6 %.</w:t>
      </w:r>
    </w:p>
    <w:p>
      <w:r>
        <w:t xml:space="preserve"> </w:t>
      </w:r>
    </w:p>
    <w:p>
      <w:r>
        <w:t xml:space="preserve">Bilješka broj 5 – šifra 3222</w:t>
      </w:r>
    </w:p>
    <w:p>
      <w:r>
        <w:t xml:space="preserve">Materijal i sirovine</w:t>
      </w:r>
    </w:p>
    <w:p>
      <w:r>
        <w:t xml:space="preserve">Rashodi se odnose na nabavu namirnica za potrebe rada ispitnih povjerenstava stručnih ispita, sjednica Školskog odbora i drugih službenih prigoda.</w:t>
      </w:r>
    </w:p>
    <w:p>
      <w:r>
        <w:t xml:space="preserve"> </w:t>
      </w:r>
    </w:p>
    <w:p>
      <w:r>
        <w:t xml:space="preserve">Bilješka broj 6 – šifra 96</w:t>
      </w:r>
    </w:p>
    <w:p>
      <w:r>
        <w:t xml:space="preserve">Obračunati prihodi poslovanja – nenaplaćeni</w:t>
      </w:r>
    </w:p>
    <w:p>
      <w:r>
        <w:t xml:space="preserve">Na dan izvještavanja nenaplaćeni obračunati prihodi poslovanja iznose 154.768,55 EUR te se odnose na obračunate plaće za prosinac 2025. godine koje se financiraju iz proračuna Ministarstva znanosti, obrazovanja i mladih.</w:t>
      </w:r>
    </w:p>
    <w:p>
      <w:r>
        <w:t xml:space="preserve"> </w:t>
      </w:r>
    </w:p>
    <w:p>
      <w:r>
        <w:t xml:space="preserve">o   BILJEŠKE UZ BILANCU</w:t>
      </w:r>
    </w:p>
    <w:p>
      <w:r>
        <w:t xml:space="preserve"> </w:t>
      </w:r>
    </w:p>
    <w:p>
      <w:r>
        <w:t xml:space="preserve">Bilješka broj 7 – šifra 991</w:t>
      </w:r>
    </w:p>
    <w:p>
      <w:r>
        <w:t xml:space="preserve">Izvanbilančni zapisi - aktiva (šifra 996)</w:t>
      </w:r>
    </w:p>
    <w:p>
      <w:r>
        <w:t xml:space="preserve">Sukladno Pravilniku o proračunskom računovodstvu i Računskom planu, imovina je evidentirana po nabavnoj vrijednosti prema podacima dostavljenima od strane vlasnika imovine. Predmetna imovina na dan 31. prosinca 2025. godine nalazi se u posjedu i korištenju Škole te je iskazana u izvanbilančnim zapisima do trenutka povrata vlasniku.</w:t>
      </w:r>
    </w:p>
    <w:p>
      <w:r>
        <w:t xml:space="preserve">Na kontima izvanbilančne evidencije 99111 – Tuđa imovina dobivena na korištenje i 99611 – Protustavka iskazan je iznos od 86.500,00 EUR.</w:t>
      </w:r>
    </w:p>
    <w:p>
      <w:r>
        <w:t xml:space="preserve">Navedeni iznos odnosi se na:</w:t>
      </w:r>
    </w:p>
    <w:p>
      <w:pPr>
        <w:pStyle w:val="ListParagraph"/>
        <w:numPr>
          <w:ilvl w:val="0"/>
          <w:numId w:val="7"/>
        </w:numPr>
      </w:pPr>
      <w:r>
        <w:t xml:space="preserve">vrijednost zaštitne skele (tunelska i cijevna skela) dobavljača SPEKTAR GRADNJA d.o.o., OIB: 36022528125, Hrvatski Leskovac, Hojnikova ulica 10, koja se nalazi u operativnom najmu, u iznosu od 82.500,00 EUR,</w:t>
      </w:r>
    </w:p>
    <w:p>
      <w:pPr>
        <w:pStyle w:val="ListParagraph"/>
        <w:numPr>
          <w:ilvl w:val="0"/>
          <w:numId w:val="7"/>
        </w:numPr>
      </w:pPr>
      <w:r>
        <w:t xml:space="preserve">vrijednost dvaju printera dobavljača KSU d.o.o., OIB: 34976993601, Velika Gorica, Dr. Jurja Dobrile 50, u iznosu od 4.000,00 EUR.</w:t>
      </w:r>
      <w:r>
        <w:br/>
      </w:r>
      <w:r>
        <w:t xml:space="preserve"> </w:t>
      </w:r>
    </w:p>
    <w:p>
      <w:r>
        <w:t xml:space="preserve">o   BILJEŠKE UZ IZVJEŠTAJ O PROMJENAMA U VRIJEDNOSTI I OBUJMU IMOVINE I OBVEZA</w:t>
      </w:r>
    </w:p>
    <w:p>
      <w:r>
        <w:t xml:space="preserve"> </w:t>
      </w:r>
    </w:p>
    <w:p>
      <w:r>
        <w:t xml:space="preserve">Bilješka broj 8 – šifra P018</w:t>
      </w:r>
    </w:p>
    <w:p>
      <w:r>
        <w:t xml:space="preserve">Proizvedena dugotrajna imovina</w:t>
      </w:r>
    </w:p>
    <w:p>
      <w:r>
        <w:t xml:space="preserve">U 2025. godini evidentirane su promjene u vrijednosti i obujmu imovine koje nisu posljedica prihoda, rashoda niti novčanih tokova, u iznosu od 806,25 EUR. Promjena se odnosi na nabavu prijenosnog računala za potrebe rada voditelja računovodstva u aplikaciji INFOMARE ZGCOP.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   BILJEŠKE UZ IZVJEŠTAJ O OBVEZAMA</w:t>
      </w:r>
    </w:p>
    <w:p>
      <w:r>
        <w:t xml:space="preserve"> </w:t>
      </w:r>
    </w:p>
    <w:p>
      <w:r>
        <w:t xml:space="preserve">Bilješka broj 9 – račun 237</w:t>
      </w:r>
    </w:p>
    <w:p>
      <w:r>
        <w:t xml:space="preserve">Obveze za naknade građanima i kućanstvima</w:t>
      </w:r>
    </w:p>
    <w:p>
      <w:r>
        <w:t xml:space="preserve">Obveze se odnose na isplatu nagrade učenicima „Professor Balthazar“.</w:t>
      </w:r>
    </w:p>
    <w:p>
      <w:r>
        <w:t xml:space="preserve"> </w:t>
      </w:r>
    </w:p>
    <w:p>
      <w:r>
        <w:t xml:space="preserve">Bilješka broj 10 – račun 232</w:t>
      </w:r>
    </w:p>
    <w:p>
      <w:r>
        <w:t xml:space="preserve">Obveze za materijalne rashode (prekoračenje od 1 do 60 dana)</w:t>
      </w:r>
    </w:p>
    <w:p>
      <w:r>
        <w:t xml:space="preserve">Obveza se odnosi na trošak pristupa arhivskom gradivu za potrebe izrade Memorijala Škole. Račun u iznosu od 9,16 EUR izdao je Državni arhiv u Zagrebu dana 16. prosinca 2025. godine, a trošak je refundiran vanjskoj suradnici dana 12. siječnja 2026. godine.</w:t>
      </w:r>
    </w:p>
    <w:p>
      <w:r>
        <w:t xml:space="preserve"> </w:t>
      </w:r>
    </w:p>
    <w:p>
      <w:r>
        <w:t xml:space="preserve">Bilješka broj 11 – račun 232</w:t>
      </w:r>
    </w:p>
    <w:p>
      <w:r>
        <w:t xml:space="preserve">Obveze za materijalne rashode (prekoračenje od 181 do 360 dana)</w:t>
      </w:r>
    </w:p>
    <w:p>
      <w:r>
        <w:t xml:space="preserve">Ukupan iznos od 133,94 EUR odnosi se na račune Vodoopskrbe i odvodnje d.o.o. Škola je uputila zahtjev za povrat/ispravak po odobrenjima, nakon čega će obveze biti zatvorene.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3db4d95f9446c2" /><Relationship Type="http://schemas.openxmlformats.org/officeDocument/2006/relationships/numbering" Target="/word/numbering.xml" Id="R9bf286a6d67d406c" /></Relationships>
</file>